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 w:eastAsia="Microsoft JhengHei"/>
          <w:b/>
          <w:color w:val="0F2A4A"/>
          <w:sz w:val="44"/>
        </w:rPr>
        <w:t>CPAISD V12 Final Report</w:t>
      </w:r>
    </w:p>
    <w:p>
      <w:r>
        <w:t>High-resolution 2.5D supervised NCCT ischemic-area segmentation</w:t>
      </w:r>
    </w:p>
    <w:p>
      <w:r>
        <w:t>Date: 2026-06-04</w:t>
      </w:r>
    </w:p>
    <w:p>
      <w:r>
        <w:t>Cloudflare viewer: https://32c21435.cpaisd-v11-v12-viewers.pages.dev</w:t>
      </w:r>
    </w:p>
    <w:p>
      <w:pPr>
        <w:pStyle w:val="Heading1"/>
      </w:pPr>
      <w:r>
        <w:t>Executive Summary</w:t>
      </w:r>
    </w:p>
    <w:p>
      <w:r>
        <w:t>The final selected model is V12_penumbra, a high-resolution 2.5D supervised U-Net-style model. The primary target is ischemic area, defined as core plus penumbra. V12_core was trained separately using core-only masks and is reported as an exploratory auxiliary model.</w:t>
      </w:r>
    </w:p>
    <w:p>
      <w:pPr>
        <w:pStyle w:val="Heading1"/>
      </w:pPr>
      <w:r>
        <w:t>Model Schematic</w:t>
      </w:r>
    </w:p>
    <w:p>
      <w:r>
        <w:drawing>
          <wp:inline xmlns:a="http://schemas.openxmlformats.org/drawingml/2006/main" xmlns:pic="http://schemas.openxmlformats.org/drawingml/2006/picture">
            <wp:extent cx="6309360" cy="35490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PAISD_V12_model_schematic_2026060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549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Final Test Metrics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EAF1F8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/>
                <w:sz w:val="17"/>
              </w:rPr>
              <w:t>Model</w:t>
            </w:r>
          </w:p>
        </w:tc>
        <w:tc>
          <w:tcPr>
            <w:tcW w:type="dxa" w:w="2088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Target</w:t>
            </w:r>
          </w:p>
        </w:tc>
        <w:tc>
          <w:tcPr>
            <w:tcW w:type="dxa" w:w="1224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Threshold</w:t>
            </w:r>
          </w:p>
        </w:tc>
        <w:tc>
          <w:tcPr>
            <w:tcW w:type="dxa" w:w="1080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Dice</w:t>
            </w:r>
          </w:p>
        </w:tc>
        <w:tc>
          <w:tcPr>
            <w:tcW w:type="dxa" w:w="1080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IoU</w:t>
            </w:r>
          </w:p>
        </w:tc>
        <w:tc>
          <w:tcPr>
            <w:tcW w:type="dxa" w:w="1224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Precision</w:t>
            </w:r>
          </w:p>
        </w:tc>
        <w:tc>
          <w:tcPr>
            <w:tcW w:type="dxa" w:w="1224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Recall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V12_penumbra</w:t>
            </w:r>
          </w:p>
        </w:tc>
        <w:tc>
          <w:tcPr>
            <w:tcW w:type="dxa" w:w="208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core + penumbra</w:t>
            </w:r>
          </w:p>
        </w:tc>
        <w:tc>
          <w:tcPr>
            <w:tcW w:type="dxa" w:w="122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0.55</w:t>
            </w:r>
          </w:p>
        </w:tc>
        <w:tc>
          <w:tcPr>
            <w:tcW w:type="dxa" w:w="1080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0.4217</w:t>
            </w:r>
          </w:p>
        </w:tc>
        <w:tc>
          <w:tcPr>
            <w:tcW w:type="dxa" w:w="1080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0.2672</w:t>
            </w:r>
          </w:p>
        </w:tc>
        <w:tc>
          <w:tcPr>
            <w:tcW w:type="dxa" w:w="122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0.5505</w:t>
            </w:r>
          </w:p>
        </w:tc>
        <w:tc>
          <w:tcPr>
            <w:tcW w:type="dxa" w:w="122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0.3418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V12_core</w:t>
            </w:r>
          </w:p>
        </w:tc>
        <w:tc>
          <w:tcPr>
            <w:tcW w:type="dxa" w:w="208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core-only</w:t>
            </w:r>
          </w:p>
        </w:tc>
        <w:tc>
          <w:tcPr>
            <w:tcW w:type="dxa" w:w="122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0.70</w:t>
            </w:r>
          </w:p>
        </w:tc>
        <w:tc>
          <w:tcPr>
            <w:tcW w:type="dxa" w:w="1080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0.0701</w:t>
            </w:r>
          </w:p>
        </w:tc>
        <w:tc>
          <w:tcPr>
            <w:tcW w:type="dxa" w:w="1080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0.0363</w:t>
            </w:r>
          </w:p>
        </w:tc>
        <w:tc>
          <w:tcPr>
            <w:tcW w:type="dxa" w:w="122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0.0734</w:t>
            </w:r>
          </w:p>
        </w:tc>
        <w:tc>
          <w:tcPr>
            <w:tcW w:type="dxa" w:w="122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0.0670</w:t>
            </w:r>
          </w:p>
        </w:tc>
      </w:tr>
    </w:tbl>
    <w:p/>
    <w:p>
      <w:pPr>
        <w:pStyle w:val="Heading1"/>
      </w:pPr>
      <w:r>
        <w:t>Training Parameters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456"/>
            <w:shd w:fill="EAF1F8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/>
                <w:sz w:val="17"/>
              </w:rPr>
              <w:t>Parameter</w:t>
            </w:r>
          </w:p>
        </w:tc>
        <w:tc>
          <w:tcPr>
            <w:tcW w:type="dxa" w:w="6912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Value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Input size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384 x 384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Input context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5 adjacent axial slices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Folds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5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Epoch budget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35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Batch size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2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Optimizer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AdamW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Learning rate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0.0001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Weight decay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0.0005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U-Net base channels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24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Dropout2d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0.08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Early stopping patience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7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Tissue HU range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18.0 to 90.0 HU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Tversky alpha / beta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0.75 / 0.25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BCE positive weight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2.0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Augmentation</w:t>
            </w:r>
          </w:p>
        </w:tc>
        <w:tc>
          <w:tcPr>
            <w:tcW w:type="dxa" w:w="691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rotation +/-7.0 deg; scale 0.94 to 1.06</w:t>
            </w:r>
          </w:p>
        </w:tc>
      </w:tr>
    </w:tbl>
    <w:p/>
    <w:p>
      <w:pPr>
        <w:pStyle w:val="Heading1"/>
      </w:pPr>
      <w:r>
        <w:t>5-fold Validation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1008"/>
            <w:shd w:fill="EAF1F8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/>
                <w:sz w:val="17"/>
              </w:rPr>
              <w:t>Fold</w:t>
            </w:r>
          </w:p>
        </w:tc>
        <w:tc>
          <w:tcPr>
            <w:tcW w:type="dxa" w:w="2088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V12_penumbra Dice</w:t>
            </w:r>
          </w:p>
        </w:tc>
        <w:tc>
          <w:tcPr>
            <w:tcW w:type="dxa" w:w="2232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V12_penumbra Val Loss</w:t>
            </w:r>
          </w:p>
        </w:tc>
        <w:tc>
          <w:tcPr>
            <w:tcW w:type="dxa" w:w="1800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V12_core Dice</w:t>
            </w:r>
          </w:p>
        </w:tc>
        <w:tc>
          <w:tcPr>
            <w:tcW w:type="dxa" w:w="1944"/>
            <w:shd w:fill="EAF1F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/>
                <w:sz w:val="17"/>
              </w:rPr>
              <w:t>V12_core Val Loss</w:t>
            </w:r>
          </w:p>
        </w:tc>
      </w:tr>
      <w:tr>
        <w:tc>
          <w:tcPr>
            <w:tcW w:type="dxa" w:w="1008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1</w:t>
            </w:r>
          </w:p>
        </w:tc>
        <w:tc>
          <w:tcPr>
            <w:tcW w:type="dxa" w:w="208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0.3622</w:t>
            </w:r>
          </w:p>
        </w:tc>
        <w:tc>
          <w:tcPr>
            <w:tcW w:type="dxa" w:w="223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0.5706</w:t>
            </w:r>
          </w:p>
        </w:tc>
        <w:tc>
          <w:tcPr>
            <w:tcW w:type="dxa" w:w="1800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0.2850</w:t>
            </w:r>
          </w:p>
        </w:tc>
        <w:tc>
          <w:tcPr>
            <w:tcW w:type="dxa" w:w="194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0.5180</w:t>
            </w:r>
          </w:p>
        </w:tc>
      </w:tr>
      <w:tr>
        <w:tc>
          <w:tcPr>
            <w:tcW w:type="dxa" w:w="1008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2</w:t>
            </w:r>
          </w:p>
        </w:tc>
        <w:tc>
          <w:tcPr>
            <w:tcW w:type="dxa" w:w="208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0.4311</w:t>
            </w:r>
          </w:p>
        </w:tc>
        <w:tc>
          <w:tcPr>
            <w:tcW w:type="dxa" w:w="223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0.5659</w:t>
            </w:r>
          </w:p>
        </w:tc>
        <w:tc>
          <w:tcPr>
            <w:tcW w:type="dxa" w:w="1800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0.2968</w:t>
            </w:r>
          </w:p>
        </w:tc>
        <w:tc>
          <w:tcPr>
            <w:tcW w:type="dxa" w:w="194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0.4978</w:t>
            </w:r>
          </w:p>
        </w:tc>
      </w:tr>
      <w:tr>
        <w:tc>
          <w:tcPr>
            <w:tcW w:type="dxa" w:w="1008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3</w:t>
            </w:r>
          </w:p>
        </w:tc>
        <w:tc>
          <w:tcPr>
            <w:tcW w:type="dxa" w:w="208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0.4119</w:t>
            </w:r>
          </w:p>
        </w:tc>
        <w:tc>
          <w:tcPr>
            <w:tcW w:type="dxa" w:w="223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0.5458</w:t>
            </w:r>
          </w:p>
        </w:tc>
        <w:tc>
          <w:tcPr>
            <w:tcW w:type="dxa" w:w="1800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0.2347</w:t>
            </w:r>
          </w:p>
        </w:tc>
        <w:tc>
          <w:tcPr>
            <w:tcW w:type="dxa" w:w="194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0.5151</w:t>
            </w:r>
          </w:p>
        </w:tc>
      </w:tr>
      <w:tr>
        <w:tc>
          <w:tcPr>
            <w:tcW w:type="dxa" w:w="1008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4</w:t>
            </w:r>
          </w:p>
        </w:tc>
        <w:tc>
          <w:tcPr>
            <w:tcW w:type="dxa" w:w="208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0.3679</w:t>
            </w:r>
          </w:p>
        </w:tc>
        <w:tc>
          <w:tcPr>
            <w:tcW w:type="dxa" w:w="223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0.5463</w:t>
            </w:r>
          </w:p>
        </w:tc>
        <w:tc>
          <w:tcPr>
            <w:tcW w:type="dxa" w:w="1800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0.2782</w:t>
            </w:r>
          </w:p>
        </w:tc>
        <w:tc>
          <w:tcPr>
            <w:tcW w:type="dxa" w:w="194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0.5112</w:t>
            </w:r>
          </w:p>
        </w:tc>
      </w:tr>
      <w:tr>
        <w:tc>
          <w:tcPr>
            <w:tcW w:type="dxa" w:w="1008"/>
          </w:tcPr>
          <w:p>
            <w:pPr>
              <w:jc w:val="left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5</w:t>
            </w:r>
          </w:p>
        </w:tc>
        <w:tc>
          <w:tcPr>
            <w:tcW w:type="dxa" w:w="2088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0.2843</w:t>
            </w:r>
          </w:p>
        </w:tc>
        <w:tc>
          <w:tcPr>
            <w:tcW w:type="dxa" w:w="2232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0.5629</w:t>
            </w:r>
          </w:p>
        </w:tc>
        <w:tc>
          <w:tcPr>
            <w:tcW w:type="dxa" w:w="1800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0.2817</w:t>
            </w:r>
          </w:p>
        </w:tc>
        <w:tc>
          <w:tcPr>
            <w:tcW w:type="dxa" w:w="1944"/>
          </w:tcPr>
          <w:p>
            <w:pPr>
              <w:jc w:val="center"/>
            </w:pPr>
            <w:r/>
            <w:r>
              <w:rPr>
                <w:rFonts w:ascii="Arial" w:hAnsi="Arial" w:eastAsia="Microsoft JhengHei"/>
                <w:b w:val="0"/>
                <w:sz w:val="17"/>
              </w:rPr>
              <w:t>0.4835</w:t>
            </w:r>
          </w:p>
        </w:tc>
      </w:tr>
    </w:tbl>
    <w:p/>
    <w:p>
      <w:r>
        <w:drawing>
          <wp:inline xmlns:a="http://schemas.openxmlformats.org/drawingml/2006/main" xmlns:pic="http://schemas.openxmlformats.org/drawingml/2006/picture">
            <wp:extent cx="6309360" cy="378561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PAISD_V12_loss_curves_2026060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Preprocessing and Target Definition</w:t>
      </w:r>
    </w:p>
    <w:p>
      <w:pPr>
        <w:pStyle w:val="ListBullet"/>
      </w:pPr>
      <w:r>
        <w:t>Brain-window NCCT clipping and intensity normalization were applied before model input.</w:t>
      </w:r>
    </w:p>
    <w:p>
      <w:pPr>
        <w:pStyle w:val="ListBullet"/>
      </w:pPr>
      <w:r>
        <w:t>High-HU skull components were excluded, and water-density CSF/ventricle regions were suppressed using the tissue HU range.</w:t>
      </w:r>
    </w:p>
    <w:p>
      <w:pPr>
        <w:pStyle w:val="ListBullet"/>
      </w:pPr>
      <w:r>
        <w:t>V12_penumbra uses the union of core and penumbra masks as the binary ischemic-area target.</w:t>
      </w:r>
    </w:p>
    <w:p>
      <w:pPr>
        <w:pStyle w:val="ListBullet"/>
      </w:pPr>
      <w:r>
        <w:t>V12_core uses only core label value 1 as the target and is more severely imbalanced.</w:t>
      </w:r>
    </w:p>
    <w:p>
      <w:pPr>
        <w:pStyle w:val="Heading1"/>
      </w:pPr>
      <w:r>
        <w:t>Interpretation</w:t>
      </w:r>
    </w:p>
    <w:p>
      <w:r>
        <w:t>The V12_penumbra model is recommended as the final report model. The separate V12_core model provides an auxiliary view but currently has weak held-out test generalization, reflecting the smaller lesion volume and greater label imbalance.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Microsoft Jheng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Microsoft JhengHei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Microsoft JhengHei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Microsoft JhengHei"/>
      <w:b/>
      <w:bCs/>
      <w:color w:val="1F4E79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